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855F" w14:textId="5A397FA2" w:rsidR="00565C6B" w:rsidRDefault="00565C6B"/>
    <w:p w14:paraId="6AE24BB5" w14:textId="067F4123" w:rsidR="00AD4702" w:rsidRPr="00AD4702" w:rsidRDefault="00AD4702" w:rsidP="00AD4702">
      <w:pPr>
        <w:rPr>
          <w:rtl/>
        </w:rPr>
      </w:pPr>
    </w:p>
    <w:p w14:paraId="5AF2A239" w14:textId="29463BA0" w:rsidR="00AD4702" w:rsidRPr="00AD4702" w:rsidRDefault="00AD4702" w:rsidP="00AD4702">
      <w:pPr>
        <w:rPr>
          <w:rtl/>
        </w:rPr>
      </w:pPr>
    </w:p>
    <w:p w14:paraId="066A3794" w14:textId="33E2E310" w:rsidR="00AD4702" w:rsidRDefault="00AD4702" w:rsidP="00AD4702">
      <w:pPr>
        <w:bidi/>
        <w:rPr>
          <w:rtl/>
        </w:rPr>
      </w:pPr>
    </w:p>
    <w:p w14:paraId="234ED983" w14:textId="103E14EF" w:rsidR="00AD4702" w:rsidRPr="00711D5C" w:rsidRDefault="00AD4702" w:rsidP="00AD4702">
      <w:pPr>
        <w:pStyle w:val="Heading3"/>
        <w:bidi/>
        <w:spacing w:before="0" w:line="264" w:lineRule="atLeast"/>
        <w:textAlignment w:val="baseline"/>
        <w:rPr>
          <w:rFonts w:ascii="Helvetica" w:eastAsia="Times New Roman" w:hAnsi="Helvetica" w:cs="Helvetica"/>
          <w:b/>
          <w:bCs/>
          <w:color w:val="00005A"/>
          <w:sz w:val="32"/>
          <w:szCs w:val="32"/>
        </w:rPr>
      </w:pPr>
      <w:r w:rsidRPr="00711D5C">
        <w:rPr>
          <w:sz w:val="28"/>
          <w:szCs w:val="28"/>
        </w:rPr>
        <w:tab/>
      </w:r>
      <w:r w:rsidR="00711D5C" w:rsidRPr="00CE06A5">
        <w:rPr>
          <w:rFonts w:hint="cs"/>
          <w:b/>
          <w:bCs/>
          <w:sz w:val="36"/>
          <w:szCs w:val="36"/>
          <w:rtl/>
        </w:rPr>
        <w:t xml:space="preserve">شرح </w:t>
      </w:r>
      <w:r w:rsidRPr="00CE06A5">
        <w:rPr>
          <w:rFonts w:ascii="Arial" w:eastAsia="Times New Roman" w:hAnsi="Arial" w:cs="Arial"/>
          <w:b/>
          <w:bCs/>
          <w:color w:val="00005A"/>
          <w:sz w:val="36"/>
          <w:szCs w:val="36"/>
          <w:rtl/>
        </w:rPr>
        <w:t>وظایف</w:t>
      </w:r>
      <w:r w:rsidRPr="00CE06A5">
        <w:rPr>
          <w:rFonts w:ascii="Helvetica" w:eastAsia="Times New Roman" w:hAnsi="Helvetica" w:cs="Helvetica"/>
          <w:b/>
          <w:bCs/>
          <w:color w:val="00005A"/>
          <w:sz w:val="36"/>
          <w:szCs w:val="36"/>
        </w:rPr>
        <w:t> </w:t>
      </w:r>
      <w:r w:rsidRPr="00CE06A5">
        <w:rPr>
          <w:rFonts w:ascii="Arial" w:eastAsia="Times New Roman" w:hAnsi="Arial" w:cs="Arial"/>
          <w:b/>
          <w:bCs/>
          <w:color w:val="00005A"/>
          <w:sz w:val="36"/>
          <w:szCs w:val="36"/>
          <w:bdr w:val="none" w:sz="0" w:space="0" w:color="auto" w:frame="1"/>
          <w:rtl/>
        </w:rPr>
        <w:t>معاونت</w:t>
      </w:r>
      <w:r w:rsidR="00CE06A5" w:rsidRPr="00CE06A5">
        <w:rPr>
          <w:rFonts w:ascii="Arial" w:eastAsia="Times New Roman" w:hAnsi="Arial" w:cs="Arial" w:hint="cs"/>
          <w:b/>
          <w:bCs/>
          <w:color w:val="00005A"/>
          <w:sz w:val="36"/>
          <w:szCs w:val="36"/>
          <w:bdr w:val="none" w:sz="0" w:space="0" w:color="auto" w:frame="1"/>
          <w:rtl/>
        </w:rPr>
        <w:t xml:space="preserve"> توسعه</w:t>
      </w:r>
      <w:r w:rsidRPr="00CE06A5">
        <w:rPr>
          <w:rFonts w:ascii="inherit" w:eastAsia="Times New Roman" w:hAnsi="inherit" w:cs="Helvetica"/>
          <w:b/>
          <w:bCs/>
          <w:color w:val="00005A"/>
          <w:sz w:val="34"/>
          <w:szCs w:val="36"/>
          <w:bdr w:val="none" w:sz="0" w:space="0" w:color="auto" w:frame="1"/>
          <w:rtl/>
        </w:rPr>
        <w:t xml:space="preserve"> </w:t>
      </w:r>
      <w:r w:rsidRPr="00CE06A5">
        <w:rPr>
          <w:rFonts w:ascii="Arial" w:eastAsia="Times New Roman" w:hAnsi="Arial" w:cs="Arial"/>
          <w:b/>
          <w:bCs/>
          <w:color w:val="00005A"/>
          <w:sz w:val="36"/>
          <w:szCs w:val="36"/>
          <w:bdr w:val="none" w:sz="0" w:space="0" w:color="auto" w:frame="1"/>
          <w:rtl/>
        </w:rPr>
        <w:t>فناوری</w:t>
      </w:r>
    </w:p>
    <w:p w14:paraId="74CADFF3" w14:textId="77777777" w:rsidR="00711D5C" w:rsidRDefault="00AD4702" w:rsidP="00711D5C">
      <w:pPr>
        <w:pStyle w:val="ListParagraph"/>
        <w:numPr>
          <w:ilvl w:val="0"/>
          <w:numId w:val="5"/>
        </w:numPr>
        <w:bidi/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711D5C">
        <w:rPr>
          <w:rFonts w:ascii="inherit" w:eastAsia="Times New Roman" w:hAnsi="inherit" w:cs="Times New Roman"/>
          <w:sz w:val="24"/>
          <w:szCs w:val="24"/>
          <w:rtl/>
        </w:rPr>
        <w:t>جذب شرکتهای بزرگ و برندهای معتبر در پارک با هدف شبکه سازی</w:t>
      </w:r>
    </w:p>
    <w:p w14:paraId="603FA808" w14:textId="77777777" w:rsidR="00711D5C" w:rsidRDefault="00AD4702" w:rsidP="00711D5C">
      <w:pPr>
        <w:pStyle w:val="ListParagraph"/>
        <w:numPr>
          <w:ilvl w:val="0"/>
          <w:numId w:val="5"/>
        </w:numPr>
        <w:bidi/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711D5C">
        <w:rPr>
          <w:rFonts w:ascii="inherit" w:eastAsia="Times New Roman" w:hAnsi="inherit" w:cs="Times New Roman"/>
          <w:sz w:val="24"/>
          <w:szCs w:val="24"/>
          <w:rtl/>
        </w:rPr>
        <w:t>نظارت و ارزیابی واحدهای فناور</w:t>
      </w:r>
    </w:p>
    <w:p w14:paraId="5662DE6A" w14:textId="77777777" w:rsidR="00711D5C" w:rsidRDefault="00AD4702" w:rsidP="00711D5C">
      <w:pPr>
        <w:pStyle w:val="ListParagraph"/>
        <w:numPr>
          <w:ilvl w:val="0"/>
          <w:numId w:val="5"/>
        </w:numPr>
        <w:bidi/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711D5C">
        <w:rPr>
          <w:rFonts w:ascii="inherit" w:eastAsia="Times New Roman" w:hAnsi="inherit" w:cs="Times New Roman"/>
          <w:sz w:val="24"/>
          <w:szCs w:val="24"/>
          <w:rtl/>
        </w:rPr>
        <w:t>پیگیری دریافت مجوزهای مربوط به فعالیت واحدهای فناور</w:t>
      </w:r>
    </w:p>
    <w:p w14:paraId="59F68568" w14:textId="77777777" w:rsidR="00711D5C" w:rsidRDefault="00AD4702" w:rsidP="00711D5C">
      <w:pPr>
        <w:pStyle w:val="ListParagraph"/>
        <w:numPr>
          <w:ilvl w:val="0"/>
          <w:numId w:val="5"/>
        </w:numPr>
        <w:bidi/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711D5C">
        <w:rPr>
          <w:rFonts w:ascii="inherit" w:eastAsia="Times New Roman" w:hAnsi="inherit" w:cs="Times New Roman"/>
          <w:sz w:val="24"/>
          <w:szCs w:val="24"/>
          <w:rtl/>
        </w:rPr>
        <w:t>تهیه، تدوین و ارائه آمار واحدهای فناور و اطلاع رسانی آنها</w:t>
      </w:r>
    </w:p>
    <w:p w14:paraId="687AB2F6" w14:textId="77777777" w:rsidR="00711D5C" w:rsidRDefault="00AD4702" w:rsidP="00711D5C">
      <w:pPr>
        <w:pStyle w:val="ListParagraph"/>
        <w:numPr>
          <w:ilvl w:val="0"/>
          <w:numId w:val="5"/>
        </w:numPr>
        <w:bidi/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711D5C">
        <w:rPr>
          <w:rFonts w:ascii="inherit" w:eastAsia="Times New Roman" w:hAnsi="inherit" w:cs="Times New Roman"/>
          <w:sz w:val="24"/>
          <w:szCs w:val="24"/>
          <w:rtl/>
        </w:rPr>
        <w:t>پذیرش واحدهای فناور</w:t>
      </w:r>
    </w:p>
    <w:p w14:paraId="6F0285A4" w14:textId="6610C8B6" w:rsidR="00711D5C" w:rsidRPr="00711D5C" w:rsidRDefault="00AD4702" w:rsidP="001E780D">
      <w:pPr>
        <w:pStyle w:val="ListParagraph"/>
        <w:numPr>
          <w:ilvl w:val="0"/>
          <w:numId w:val="5"/>
        </w:numPr>
        <w:bidi/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711D5C">
        <w:rPr>
          <w:rFonts w:ascii="inherit" w:eastAsia="Times New Roman" w:hAnsi="inherit" w:cs="Times New Roman"/>
          <w:sz w:val="24"/>
          <w:szCs w:val="24"/>
          <w:rtl/>
        </w:rPr>
        <w:t>توسعه ساختارهای فناوری مانند مرکز رشد، مرکز نوآوری، کانون شکوفایی خلاقیت وارائه خدمات تجاری سازی</w:t>
      </w:r>
    </w:p>
    <w:p w14:paraId="60CFBF24" w14:textId="77777777" w:rsidR="00711D5C" w:rsidRDefault="00AD4702" w:rsidP="00711D5C">
      <w:pPr>
        <w:pStyle w:val="ListParagraph"/>
        <w:numPr>
          <w:ilvl w:val="0"/>
          <w:numId w:val="5"/>
        </w:numPr>
        <w:bidi/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711D5C">
        <w:rPr>
          <w:rFonts w:ascii="inherit" w:eastAsia="Times New Roman" w:hAnsi="inherit" w:cs="Times New Roman"/>
          <w:sz w:val="24"/>
          <w:szCs w:val="24"/>
          <w:rtl/>
        </w:rPr>
        <w:t>حمایت در جذب پروژه، بازاریابی واحدهای فناور و حمایت از حضور واحدهای فناور نمایشگاه</w:t>
      </w:r>
    </w:p>
    <w:p w14:paraId="37DFD73D" w14:textId="77777777" w:rsidR="00711D5C" w:rsidRDefault="00AD4702" w:rsidP="00711D5C">
      <w:pPr>
        <w:pStyle w:val="ListParagraph"/>
        <w:numPr>
          <w:ilvl w:val="0"/>
          <w:numId w:val="5"/>
        </w:numPr>
        <w:bidi/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711D5C">
        <w:rPr>
          <w:rFonts w:ascii="inherit" w:eastAsia="Times New Roman" w:hAnsi="inherit" w:cs="Times New Roman"/>
          <w:sz w:val="24"/>
          <w:szCs w:val="24"/>
          <w:rtl/>
        </w:rPr>
        <w:t>حمایت در جهت جذب تسهیلات، سرمایه گذاری و تامین مالی واحدهای فناور</w:t>
      </w:r>
    </w:p>
    <w:p w14:paraId="2EF7D209" w14:textId="77777777" w:rsidR="00711D5C" w:rsidRDefault="00AD4702" w:rsidP="00711D5C">
      <w:pPr>
        <w:pStyle w:val="ListParagraph"/>
        <w:numPr>
          <w:ilvl w:val="0"/>
          <w:numId w:val="5"/>
        </w:numPr>
        <w:bidi/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711D5C">
        <w:rPr>
          <w:rFonts w:ascii="inherit" w:eastAsia="Times New Roman" w:hAnsi="inherit" w:cs="Times New Roman"/>
          <w:sz w:val="24"/>
          <w:szCs w:val="24"/>
          <w:rtl/>
        </w:rPr>
        <w:t>ارائه خدمات مشاوره و برنامه ریزی آموزشی</w:t>
      </w:r>
    </w:p>
    <w:p w14:paraId="0E62E3CF" w14:textId="77777777" w:rsidR="00711D5C" w:rsidRDefault="00AD4702" w:rsidP="00711D5C">
      <w:pPr>
        <w:pStyle w:val="ListParagraph"/>
        <w:numPr>
          <w:ilvl w:val="0"/>
          <w:numId w:val="5"/>
        </w:numPr>
        <w:bidi/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711D5C">
        <w:rPr>
          <w:rFonts w:ascii="inherit" w:eastAsia="Times New Roman" w:hAnsi="inherit" w:cs="Times New Roman"/>
          <w:sz w:val="24"/>
          <w:szCs w:val="24"/>
          <w:rtl/>
        </w:rPr>
        <w:t>جذب منابع مختلف برای ارائه خدمات آزمایشگاهی و کارگاهی</w:t>
      </w:r>
    </w:p>
    <w:p w14:paraId="5016D664" w14:textId="77777777" w:rsidR="00711D5C" w:rsidRDefault="00AD4702" w:rsidP="00711D5C">
      <w:pPr>
        <w:pStyle w:val="ListParagraph"/>
        <w:numPr>
          <w:ilvl w:val="0"/>
          <w:numId w:val="5"/>
        </w:numPr>
        <w:bidi/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711D5C">
        <w:rPr>
          <w:rFonts w:ascii="inherit" w:eastAsia="Times New Roman" w:hAnsi="inherit" w:cs="Times New Roman"/>
          <w:sz w:val="24"/>
          <w:szCs w:val="24"/>
          <w:rtl/>
        </w:rPr>
        <w:t>ارائه سایر خدمات تخصصی مانند طرح کارورزی، اشتغال، مالکیت فکری و</w:t>
      </w:r>
    </w:p>
    <w:p w14:paraId="1D8E860B" w14:textId="4009D15E" w:rsidR="00AD4702" w:rsidRPr="00711D5C" w:rsidRDefault="00AD4702" w:rsidP="00711D5C">
      <w:pPr>
        <w:pStyle w:val="ListParagraph"/>
        <w:numPr>
          <w:ilvl w:val="0"/>
          <w:numId w:val="5"/>
        </w:numPr>
        <w:bidi/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711D5C">
        <w:rPr>
          <w:rFonts w:ascii="inherit" w:eastAsia="Times New Roman" w:hAnsi="inherit" w:cs="Times New Roman"/>
          <w:sz w:val="24"/>
          <w:szCs w:val="24"/>
          <w:rtl/>
        </w:rPr>
        <w:t>برگزاری رویدادهای کارآفرینی و دوره و کارگاههای آموزشی و نشستهای تخصصی</w:t>
      </w:r>
    </w:p>
    <w:p w14:paraId="7FB90658" w14:textId="3E4739A4" w:rsidR="00AD4702" w:rsidRPr="00711D5C" w:rsidRDefault="00AD4702" w:rsidP="00711D5C">
      <w:pPr>
        <w:pStyle w:val="ListParagraph"/>
        <w:numPr>
          <w:ilvl w:val="0"/>
          <w:numId w:val="5"/>
        </w:numPr>
        <w:bidi/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711D5C">
        <w:rPr>
          <w:rFonts w:ascii="inherit" w:eastAsia="Times New Roman" w:hAnsi="inherit" w:cs="Times New Roman"/>
          <w:sz w:val="24"/>
          <w:szCs w:val="24"/>
          <w:rtl/>
        </w:rPr>
        <w:t xml:space="preserve">بر اساس ساختار فعلی پارک علم و فناوری </w:t>
      </w:r>
      <w:r w:rsidR="00651D26">
        <w:rPr>
          <w:rFonts w:ascii="inherit" w:eastAsia="Times New Roman" w:hAnsi="inherit" w:cs="Times New Roman" w:hint="cs"/>
          <w:sz w:val="24"/>
          <w:szCs w:val="24"/>
          <w:rtl/>
        </w:rPr>
        <w:t xml:space="preserve">، </w:t>
      </w:r>
      <w:r w:rsidRPr="00711D5C">
        <w:rPr>
          <w:rFonts w:ascii="inherit" w:eastAsia="Times New Roman" w:hAnsi="inherit" w:cs="Times New Roman"/>
          <w:sz w:val="24"/>
          <w:szCs w:val="24"/>
          <w:rtl/>
        </w:rPr>
        <w:t>واحد جذب و پذیرش واحد های فناور، دفتر توسعه و انتقال فناوری، مدیریت مراکز رشد و مرکز کارافرینی زیر مجموعه معاونت فناوری پارک می باشد</w:t>
      </w:r>
      <w:r w:rsidRPr="00711D5C">
        <w:rPr>
          <w:rFonts w:ascii="inherit" w:eastAsia="Times New Roman" w:hAnsi="inherit" w:cs="Times New Roman"/>
          <w:sz w:val="24"/>
          <w:szCs w:val="24"/>
        </w:rPr>
        <w:t>.</w:t>
      </w:r>
    </w:p>
    <w:p w14:paraId="222D9C6E" w14:textId="78356091" w:rsidR="00AD4702" w:rsidRPr="00AD4702" w:rsidRDefault="00AD4702" w:rsidP="00AD4702">
      <w:pPr>
        <w:tabs>
          <w:tab w:val="left" w:pos="8085"/>
        </w:tabs>
        <w:jc w:val="right"/>
      </w:pPr>
    </w:p>
    <w:sectPr w:rsidR="00AD4702" w:rsidRPr="00AD4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47A0"/>
    <w:multiLevelType w:val="hybridMultilevel"/>
    <w:tmpl w:val="F826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0462"/>
    <w:multiLevelType w:val="hybridMultilevel"/>
    <w:tmpl w:val="A3B6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52009"/>
    <w:multiLevelType w:val="multilevel"/>
    <w:tmpl w:val="834C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06252"/>
    <w:multiLevelType w:val="hybridMultilevel"/>
    <w:tmpl w:val="7262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14DEB"/>
    <w:multiLevelType w:val="hybridMultilevel"/>
    <w:tmpl w:val="C890E806"/>
    <w:lvl w:ilvl="0" w:tplc="CEA6661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color w:val="FF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FF"/>
    <w:rsid w:val="002110EE"/>
    <w:rsid w:val="00565C6B"/>
    <w:rsid w:val="00651D26"/>
    <w:rsid w:val="00711D5C"/>
    <w:rsid w:val="00AD077B"/>
    <w:rsid w:val="00AD4702"/>
    <w:rsid w:val="00CE06A5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E590A"/>
  <w15:chartTrackingRefBased/>
  <w15:docId w15:val="{4F2019C8-5E06-49EE-B26C-6BA151FA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7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D47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11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ماریا عسکری سروستانی</cp:lastModifiedBy>
  <cp:revision>5</cp:revision>
  <dcterms:created xsi:type="dcterms:W3CDTF">2023-02-21T08:24:00Z</dcterms:created>
  <dcterms:modified xsi:type="dcterms:W3CDTF">2025-04-12T07:59:00Z</dcterms:modified>
</cp:coreProperties>
</file>